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7D7E" w14:textId="77777777" w:rsidR="00B76402" w:rsidRPr="00B76402" w:rsidRDefault="00B76402" w:rsidP="00B76402">
      <w:pPr>
        <w:spacing w:line="0" w:lineRule="atLeast"/>
        <w:jc w:val="center"/>
        <w:rPr>
          <w:rFonts w:ascii="宋体" w:eastAsia="宋体" w:hAnsi="宋体"/>
          <w:b/>
          <w:bCs/>
          <w:sz w:val="24"/>
          <w:szCs w:val="24"/>
        </w:rPr>
      </w:pPr>
      <w:r w:rsidRPr="00B76402">
        <w:rPr>
          <w:rFonts w:ascii="宋体" w:eastAsia="宋体" w:hAnsi="宋体" w:hint="eastAsia"/>
          <w:b/>
          <w:bCs/>
          <w:sz w:val="24"/>
          <w:szCs w:val="24"/>
        </w:rPr>
        <w:t>中华人民共和国财政部令</w:t>
      </w:r>
    </w:p>
    <w:p w14:paraId="06DBF498" w14:textId="2B9FADE9" w:rsidR="00B76402" w:rsidRPr="00B76402" w:rsidRDefault="00B76402" w:rsidP="00B76402">
      <w:pPr>
        <w:spacing w:line="0" w:lineRule="atLeast"/>
        <w:jc w:val="center"/>
        <w:rPr>
          <w:rFonts w:ascii="宋体" w:eastAsia="宋体" w:hAnsi="宋体"/>
          <w:b/>
          <w:bCs/>
          <w:sz w:val="24"/>
          <w:szCs w:val="24"/>
        </w:rPr>
      </w:pPr>
      <w:r w:rsidRPr="00B76402">
        <w:rPr>
          <w:rFonts w:ascii="宋体" w:eastAsia="宋体" w:hAnsi="宋体" w:hint="eastAsia"/>
          <w:b/>
          <w:bCs/>
          <w:sz w:val="24"/>
          <w:szCs w:val="24"/>
        </w:rPr>
        <w:t>第108号</w:t>
      </w:r>
    </w:p>
    <w:p w14:paraId="3F431A6D" w14:textId="7777777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《事业单位财务规则》已经2021年12月31日部务会议审议通过，现予公布，自2022年3月1日起施行。</w:t>
      </w:r>
    </w:p>
    <w:p w14:paraId="0C598BB6" w14:textId="77777777" w:rsidR="00B76402" w:rsidRPr="00B76402" w:rsidRDefault="00B76402" w:rsidP="00B76402">
      <w:pPr>
        <w:spacing w:line="0" w:lineRule="atLeast"/>
        <w:jc w:val="right"/>
        <w:rPr>
          <w:rFonts w:ascii="宋体" w:eastAsia="宋体" w:hAnsi="宋体" w:hint="eastAsia"/>
          <w:sz w:val="24"/>
          <w:szCs w:val="24"/>
        </w:rPr>
      </w:pPr>
      <w:r w:rsidRPr="00B76402">
        <w:rPr>
          <w:rFonts w:ascii="宋体" w:eastAsia="宋体" w:hAnsi="宋体" w:hint="eastAsia"/>
          <w:sz w:val="24"/>
          <w:szCs w:val="24"/>
        </w:rPr>
        <w:t xml:space="preserve">　　部长 刘昆</w:t>
      </w:r>
    </w:p>
    <w:p w14:paraId="62517CDD" w14:textId="77777777" w:rsidR="00B76402" w:rsidRPr="00B76402" w:rsidRDefault="00B76402" w:rsidP="00B76402">
      <w:pPr>
        <w:spacing w:line="0" w:lineRule="atLeast"/>
        <w:jc w:val="right"/>
        <w:rPr>
          <w:rFonts w:ascii="宋体" w:eastAsia="宋体" w:hAnsi="宋体" w:hint="eastAsia"/>
          <w:sz w:val="24"/>
          <w:szCs w:val="24"/>
        </w:rPr>
      </w:pPr>
      <w:r w:rsidRPr="00B76402">
        <w:rPr>
          <w:rFonts w:ascii="宋体" w:eastAsia="宋体" w:hAnsi="宋体" w:hint="eastAsia"/>
          <w:sz w:val="24"/>
          <w:szCs w:val="24"/>
        </w:rPr>
        <w:t xml:space="preserve">　　2022年1月7日</w:t>
      </w:r>
    </w:p>
    <w:p w14:paraId="6B300984" w14:textId="77777777"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事业单位财务规则</w:t>
      </w:r>
    </w:p>
    <w:p w14:paraId="2CEA07FD" w14:textId="3520016E"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第一章 总 则</w:t>
      </w:r>
    </w:p>
    <w:p w14:paraId="29413247" w14:textId="50FC9D7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第一条 为了进一步规范事业单位的财务行为，加强事业单位财务管理和监督，提高资金使用效益，保障事业单位健康发展，制定本规则。</w:t>
      </w:r>
    </w:p>
    <w:p w14:paraId="45329E91" w14:textId="20BEC0F1"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第二条 本规则适用于各级各类事业单位（以下简称事业单位）的财务活动。</w:t>
      </w:r>
    </w:p>
    <w:p w14:paraId="41F9F32C" w14:textId="0631B5C0"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第三条 事业单位财务管理的基本原则是：执行国家有关法律、法规和财务规章制度；坚持勤俭办一切事业的方针；正确处理事业发展需要和资金供给的关系，社会效益和经济效益的关系，国家、单位和个人三者利益的关系。</w:t>
      </w:r>
    </w:p>
    <w:p w14:paraId="2CF2B84D" w14:textId="3C164038"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第四条 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加强对单位经济活动的财务控制和监督，防范财务风险。</w:t>
      </w:r>
    </w:p>
    <w:p w14:paraId="7695293A" w14:textId="3CAA8A66"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第五条 事业单位的财务活动在单位负责人的领导下，由单位财务部门统一管理。</w:t>
      </w:r>
    </w:p>
    <w:p w14:paraId="535B8C4E" w14:textId="7777777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第六条 事业单位的各项经济业务事项按照国家统一的会计制度进行会计核算。</w:t>
      </w:r>
    </w:p>
    <w:p w14:paraId="7A227E73" w14:textId="27E3A026"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第二章 单位预算管理</w:t>
      </w:r>
    </w:p>
    <w:p w14:paraId="1859F41F" w14:textId="758C2DAA"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第七条 事业单位预算是指事业单位根据事业发展目标和计划编制的年度财务收支计划。</w:t>
      </w:r>
    </w:p>
    <w:p w14:paraId="4DF703EE" w14:textId="1DC0BEF5"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事业单位预算由收入预算和支出预算组成。</w:t>
      </w:r>
    </w:p>
    <w:p w14:paraId="185EA3EB" w14:textId="066A7B93"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第八条 国家对事业单位实行核定收支、定额或者定项补助、超支不补、结转和结余按规定使用的预算管理办法。</w:t>
      </w:r>
    </w:p>
    <w:p w14:paraId="01C33BC7" w14:textId="3E135D3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定额或者定项补助根据国家有关政策和财力可能，结合事业单位改革要求、事业特点、事业发展目标和计划、事业单位收支及资产状况等确定。定额或者定项补助可以为零。</w:t>
      </w:r>
    </w:p>
    <w:p w14:paraId="39D8E6C2" w14:textId="07EBE445"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非财政补助收入大于支出较多的事业单位，可以实行收入上缴办法。具体办法由财政部门会同有关主管部门制定。</w:t>
      </w:r>
    </w:p>
    <w:p w14:paraId="5119736C" w14:textId="7FA0E402"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第九条 事业单位参考以前年度预算执行情况，根据预算年度的收入增减因素和措施，以及以前年度结转和结余情况，测算编制收入预算草案；根据事业发展需要与财力可能，测算编制支出预算草案。</w:t>
      </w:r>
    </w:p>
    <w:p w14:paraId="586DE9FF" w14:textId="5A5822BA"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事业单位预算应当自求收支平衡，不得编制赤字预算。</w:t>
      </w:r>
    </w:p>
    <w:p w14:paraId="0BB6CDD5" w14:textId="0239191C"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第十条 事业单位应当根据国家宏观调控总体要求、年度事业发展目标和计划以及预算编制的规定，提出预算建议数，经主管部门审核汇总报财政部门（一级预算单位直接报财政部门，下同）。事业单位根据财政部门下达的预算控制数编制预算草案，由主管部门审核汇总报财政部门，经法定程序审核批复后执行。</w:t>
      </w:r>
    </w:p>
    <w:p w14:paraId="7F0310F5" w14:textId="6384EAFC"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第十一条 事业单位应当严格执行批准的预算。预算执行中，国家对财政补助收入和财政专户管理资金的预算一般不予调剂，确需调剂的，由事业单位报主管部门审核后报财政部门调剂；其他资金确需调剂的，按照国家有关规定办理。</w:t>
      </w:r>
    </w:p>
    <w:p w14:paraId="33AE8A21" w14:textId="7D37BF01"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第十二条 事业单位决算是指事业单位预算收支和结余的年度执行结果。</w:t>
      </w:r>
    </w:p>
    <w:p w14:paraId="49F5E908" w14:textId="5EA78B10"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第十三条 事业单位应当按照规定编制年度决算草案，由主管部门审核汇总后报财政部门审批。</w:t>
      </w:r>
    </w:p>
    <w:p w14:paraId="79F9B7F6" w14:textId="5C8ECED6"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第十四条 事业单位应当加强决算审核和分析，保证决算数据的真实、准确，规范决算管理工作。</w:t>
      </w:r>
    </w:p>
    <w:p w14:paraId="7C135352" w14:textId="7777777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lastRenderedPageBreak/>
        <w:t xml:space="preserve">　　第十五条 事业单位应当全面加强预算绩效管理，提高资金使用效益。</w:t>
      </w:r>
    </w:p>
    <w:p w14:paraId="0C7073D8" w14:textId="62838B59"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第三章 收入管理</w:t>
      </w:r>
    </w:p>
    <w:p w14:paraId="5118CD1B" w14:textId="6DA1C26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第十六条 收入是指事业单位为开展业务及其他活动依法取得的非偿还性资金。</w:t>
      </w:r>
    </w:p>
    <w:p w14:paraId="3F816205" w14:textId="71ABE160"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第十七条 事业单位收入包括：</w:t>
      </w:r>
    </w:p>
    <w:p w14:paraId="619A3228" w14:textId="69F218BB"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（一）财政补助收入，即事业单位从本级财政部门取得的各</w:t>
      </w:r>
      <w:proofErr w:type="gramStart"/>
      <w:r w:rsidRPr="00B76402">
        <w:rPr>
          <w:rFonts w:ascii="宋体" w:eastAsia="宋体" w:hAnsi="宋体" w:hint="eastAsia"/>
          <w:sz w:val="24"/>
          <w:szCs w:val="24"/>
        </w:rPr>
        <w:t>类财政</w:t>
      </w:r>
      <w:proofErr w:type="gramEnd"/>
      <w:r w:rsidRPr="00B76402">
        <w:rPr>
          <w:rFonts w:ascii="宋体" w:eastAsia="宋体" w:hAnsi="宋体" w:hint="eastAsia"/>
          <w:sz w:val="24"/>
          <w:szCs w:val="24"/>
        </w:rPr>
        <w:t>拨款。</w:t>
      </w:r>
    </w:p>
    <w:p w14:paraId="73830849" w14:textId="07ABBDB1"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（二）事业收入，即事业单位开展专业业务活动及其辅助活动取得的收入。其中：按照国家有关规定应当上缴国库或者财政专户的资金，不计</w:t>
      </w:r>
      <w:proofErr w:type="gramStart"/>
      <w:r w:rsidRPr="00B76402">
        <w:rPr>
          <w:rFonts w:ascii="宋体" w:eastAsia="宋体" w:hAnsi="宋体" w:hint="eastAsia"/>
          <w:sz w:val="24"/>
          <w:szCs w:val="24"/>
        </w:rPr>
        <w:t>入事业</w:t>
      </w:r>
      <w:proofErr w:type="gramEnd"/>
      <w:r w:rsidRPr="00B76402">
        <w:rPr>
          <w:rFonts w:ascii="宋体" w:eastAsia="宋体" w:hAnsi="宋体" w:hint="eastAsia"/>
          <w:sz w:val="24"/>
          <w:szCs w:val="24"/>
        </w:rPr>
        <w:t>收入；从财政</w:t>
      </w:r>
      <w:proofErr w:type="gramStart"/>
      <w:r w:rsidRPr="00B76402">
        <w:rPr>
          <w:rFonts w:ascii="宋体" w:eastAsia="宋体" w:hAnsi="宋体" w:hint="eastAsia"/>
          <w:sz w:val="24"/>
          <w:szCs w:val="24"/>
        </w:rPr>
        <w:t>专户核拨给</w:t>
      </w:r>
      <w:proofErr w:type="gramEnd"/>
      <w:r w:rsidRPr="00B76402">
        <w:rPr>
          <w:rFonts w:ascii="宋体" w:eastAsia="宋体" w:hAnsi="宋体" w:hint="eastAsia"/>
          <w:sz w:val="24"/>
          <w:szCs w:val="24"/>
        </w:rPr>
        <w:t>事业单位的资金和经核准不上缴国库或者财政专户的资金，计入事业收入。</w:t>
      </w:r>
    </w:p>
    <w:p w14:paraId="04E1DDF9" w14:textId="6298D729"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（三）上级补助收入，即事业单位从主管部门和上级单位取得的非财政补助收入。</w:t>
      </w:r>
    </w:p>
    <w:p w14:paraId="680D39E6" w14:textId="70226911"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（四）附属单位上缴收入，即事业单位附属独立核算单位按照有关规定上缴的收入。</w:t>
      </w:r>
    </w:p>
    <w:p w14:paraId="5E731F58" w14:textId="7325920E"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（五）经营收入，即事业单位在专业业务活动及其辅助活动之外开展非独立核算经营活动取得的收入。</w:t>
      </w:r>
    </w:p>
    <w:p w14:paraId="0186574D" w14:textId="03611E0C"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（六）其他收入，即本条上述规定范围以外的各项收入，包括投资收益、利息收入、捐赠收入、非本级财政补助收入、租金收入等。</w:t>
      </w:r>
    </w:p>
    <w:p w14:paraId="19CFE0C5" w14:textId="3FCA68AF"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第十八条 事业单位应当将各项收入全部纳入单位预算，统一核算，统一管理，未纳入预算的收入不得安排支出。</w:t>
      </w:r>
    </w:p>
    <w:p w14:paraId="56EE9718" w14:textId="7777777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第十九条 事业单位对按照规定上缴国库或者财政专户的资金，应当按照国库集中收缴的有关规定及时足额上缴，不得隐瞒、滞留、截留、占用、挪用、拖欠或坐支。</w:t>
      </w:r>
    </w:p>
    <w:p w14:paraId="1A275B89" w14:textId="6B85C25A"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第四章 支出管理</w:t>
      </w:r>
    </w:p>
    <w:p w14:paraId="72EF5076" w14:textId="531ECF80"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第二十条 支出是指事业单位开展业务及其他活动发生的资金耗费和损失。</w:t>
      </w:r>
    </w:p>
    <w:p w14:paraId="61EEB9D3" w14:textId="600B37BE"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第二十一条 事业单位支出包括：</w:t>
      </w:r>
    </w:p>
    <w:p w14:paraId="1E5BB057" w14:textId="2966507D"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一）事业支出，即事业单位开展专业业务活动及其辅助活动发生的基本支出和项目支出。基本支出，是指事业单位为保障其单位正常运转、完成日常工作任务所发生的支出，包括人员经费和公用经费；项目支出，是指事业单位为完成其特定的工作任务和事业发展目标所发生的支出。</w:t>
      </w:r>
    </w:p>
    <w:p w14:paraId="3E88C788" w14:textId="552A846E"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（二）经营支出，即事业单位在专业业务活动及其辅助活动之外开展非独立核算经营活动发生的支出。</w:t>
      </w:r>
    </w:p>
    <w:p w14:paraId="205B82A7" w14:textId="5B275291"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（三）对附属单位补助支出，即事业单位用财政补助收入之外的收入对附属单位补助发生的支出。</w:t>
      </w:r>
    </w:p>
    <w:p w14:paraId="71AFF6C3" w14:textId="0E976004"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（四）上缴上级支出，即事业单位按照财政部门和主管部门的规定上缴上级单位的支出。</w:t>
      </w:r>
    </w:p>
    <w:p w14:paraId="069A9C97" w14:textId="604B3D09"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（五）其他支出，即本条上述规定范围以外的各项支出，包括利息支出、捐赠支出等。</w:t>
      </w:r>
    </w:p>
    <w:p w14:paraId="7476092B" w14:textId="41717C54"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第二十二条 事业单位应当将各项支出全部纳入单位预算，实行项目库管理，建立健全支出管理制度。</w:t>
      </w:r>
    </w:p>
    <w:p w14:paraId="6F4ABF4A" w14:textId="39BB783C"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第二十三条 事业单位的支出应当厉行节约，严格执行国家有关财务规章制度规定的开支范围及开支标准；国家有关财务规章制度没有统一规定的，由事业单位规定，报主管部门和财政部门备案。事业单位的规定违反法律制度和国家政策的，主管部门和财政部门应当责令改正。</w:t>
      </w:r>
    </w:p>
    <w:p w14:paraId="21995FB6" w14:textId="680067D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第二十四条 事业单位从财政部门和主管部门取得的有指定项目和用途的专项资金，应当专款专用、单独核算，并按照规定报送专项资金使用情况的报告，接受财政部门或者主管部门的检查、验收。</w:t>
      </w:r>
    </w:p>
    <w:p w14:paraId="13F99D44" w14:textId="729C9F55"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第二十五条 事业单位应当加强经济核算，可以根据开展业务活动及其他活动的实际需要，实行成本核算。成本核算的具体办法按照国务院财政部</w:t>
      </w:r>
      <w:proofErr w:type="gramStart"/>
      <w:r w:rsidRPr="00B76402">
        <w:rPr>
          <w:rFonts w:ascii="宋体" w:eastAsia="宋体" w:hAnsi="宋体" w:hint="eastAsia"/>
          <w:sz w:val="24"/>
          <w:szCs w:val="24"/>
        </w:rPr>
        <w:t>门相关</w:t>
      </w:r>
      <w:proofErr w:type="gramEnd"/>
      <w:r w:rsidRPr="00B76402">
        <w:rPr>
          <w:rFonts w:ascii="宋体" w:eastAsia="宋体" w:hAnsi="宋体" w:hint="eastAsia"/>
          <w:sz w:val="24"/>
          <w:szCs w:val="24"/>
        </w:rPr>
        <w:t>规定执行。</w:t>
      </w:r>
    </w:p>
    <w:p w14:paraId="6A12EC81" w14:textId="7D998639"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第二十六条 事业单位应当严格执行国库集中支付制度和政府采购制度等有关规定。</w:t>
      </w:r>
    </w:p>
    <w:p w14:paraId="7307F08B" w14:textId="7777777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第二十七条 事业单位应当依法加强各类票据管理，确保票据来源合法、内容真实、使用正确，不得使用虚假票据。</w:t>
      </w:r>
    </w:p>
    <w:p w14:paraId="12A402FA" w14:textId="057DDB8D"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第五章 结转和结余管理</w:t>
      </w:r>
    </w:p>
    <w:p w14:paraId="3912FBAD" w14:textId="05BF2CC6"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lastRenderedPageBreak/>
        <w:t xml:space="preserve">　　第二十八条 结转和结余是指事业单位年度收入与支出相抵后的余额。</w:t>
      </w:r>
    </w:p>
    <w:p w14:paraId="284DE0EF" w14:textId="12256958"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结转资金是指当年预算已执行但未完成，或者因故未执行，下一年度需要按照原用途继续使用的资金。结余资金是指当年预算工作目标已完成，或者因故终止，当年剩余的资金。</w:t>
      </w:r>
    </w:p>
    <w:p w14:paraId="4EBAF66F" w14:textId="40471E66"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经营收支结转和结余应当单独反映。</w:t>
      </w:r>
    </w:p>
    <w:p w14:paraId="758CD058" w14:textId="03660933"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第二十九条 财政拨款结转和结余的管理，应当按照国家有关规定执行。</w:t>
      </w:r>
    </w:p>
    <w:p w14:paraId="3621BFDF" w14:textId="7C7B8A58"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第三十条 非财政拨款结转按照规定结转下一年度继续使用。非财政拨款结余可以按照国家有关规定提取职工福利基金，剩余部分用于弥补以后年度单位收支差额；国家另有规定的，从其规定。</w:t>
      </w:r>
    </w:p>
    <w:p w14:paraId="47CAAA40" w14:textId="7777777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第三十一条 事业单位应当加强非财政拨款结余的管理，盘活存量，统筹安排、合理使用，支出不得超出非财政拨款结余规模。</w:t>
      </w:r>
    </w:p>
    <w:p w14:paraId="44F223BB" w14:textId="485C7695"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第六章 专用基金管理</w:t>
      </w:r>
    </w:p>
    <w:p w14:paraId="1851858B" w14:textId="2A77413D"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第三十二条 专用基金是指事业单位按照规定提取或者设置的有专门用途的资金。</w:t>
      </w:r>
    </w:p>
    <w:p w14:paraId="0A7CD95A" w14:textId="3C0E90F6"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专用基金管理应当遵循先提后用、专款专用的原则，支出不得超出基金规模。</w:t>
      </w:r>
    </w:p>
    <w:p w14:paraId="72AAF97B" w14:textId="31DFD28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第三十三条 专用基金包括职工福利基金和其他专用基金。</w:t>
      </w:r>
    </w:p>
    <w:p w14:paraId="2431CED5" w14:textId="729C476D"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职工福利基金是指按照非财政拨款结余的一定比例提取以及按照其他规定提取转入，用于单位职工的集体福利设施、集体福利待遇等的资金。</w:t>
      </w:r>
    </w:p>
    <w:p w14:paraId="25D891A1" w14:textId="706D1E40"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其他专用基金是指除职工福利基金外，按照有关规定提取或者设置的专用资金。</w:t>
      </w:r>
    </w:p>
    <w:p w14:paraId="00579593" w14:textId="252E6E9E"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第三十四条 事业单位应当将专用基金纳入预算管理，结合实际需要按照规定提取，保持合理规模，提高使用效益。专用基金余额较多的，应当降低提取比例或者暂停提取；确需调整用途的，由主管部门会同本级财政部门确定。</w:t>
      </w:r>
    </w:p>
    <w:p w14:paraId="3B11D1D7" w14:textId="7777777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第三十五条 各项基金的提取比例和管理办法，国家有统一规定的，按照统一规定执行；没有统一规定的，由主管部门会同本级财政部门确定。</w:t>
      </w:r>
    </w:p>
    <w:p w14:paraId="35ABE9BE" w14:textId="1E3DFB1D"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第七章 资产管理</w:t>
      </w:r>
    </w:p>
    <w:p w14:paraId="1F32EE93" w14:textId="01567680"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第三十六条 资产是指事业单位依法直接支配的各类经济资源。</w:t>
      </w:r>
    </w:p>
    <w:p w14:paraId="7FF73AFD" w14:textId="6D0CAA78"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第三十七条 事业单位的资产包括流动资产、固定资产、在建工程、无形资产、对外投资、公共基础设施、政府储备物资、文物文化资产、保障性住房等。</w:t>
      </w:r>
    </w:p>
    <w:p w14:paraId="4A9F07F3" w14:textId="19F4B09D"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第三十八条 事业单位应当建立健全单位资产管理制度，明确资产使用人和管理人的岗位责任，按照国家规定设置国有</w:t>
      </w:r>
      <w:proofErr w:type="gramStart"/>
      <w:r w:rsidRPr="00B76402">
        <w:rPr>
          <w:rFonts w:ascii="宋体" w:eastAsia="宋体" w:hAnsi="宋体" w:hint="eastAsia"/>
          <w:sz w:val="24"/>
          <w:szCs w:val="24"/>
        </w:rPr>
        <w:t>资产台</w:t>
      </w:r>
      <w:proofErr w:type="gramEnd"/>
      <w:r w:rsidRPr="00B76402">
        <w:rPr>
          <w:rFonts w:ascii="宋体" w:eastAsia="宋体" w:hAnsi="宋体" w:hint="eastAsia"/>
          <w:sz w:val="24"/>
          <w:szCs w:val="24"/>
        </w:rPr>
        <w:t>账，加强和规范资产配置、使用和处置管理，维护资产安全完整，提高资产使用效率。涉及资产评估的，按照国家有关规定执行。</w:t>
      </w:r>
    </w:p>
    <w:p w14:paraId="5200E1D9" w14:textId="5B282F28"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事业单位应当汇总编制本单位行政事业性国有资产管理情况报告。</w:t>
      </w:r>
    </w:p>
    <w:p w14:paraId="06E5233E" w14:textId="2FA5ED3F"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事业单位应当定期或者不定期对资产进行盘点、对账。出现资产盘盈盘亏的，应当按照财务、会计和资产管理制度有关规定处理，做到账实相符和账</w:t>
      </w:r>
      <w:proofErr w:type="gramStart"/>
      <w:r w:rsidRPr="00B76402">
        <w:rPr>
          <w:rFonts w:ascii="宋体" w:eastAsia="宋体" w:hAnsi="宋体" w:hint="eastAsia"/>
          <w:sz w:val="24"/>
          <w:szCs w:val="24"/>
        </w:rPr>
        <w:t>账</w:t>
      </w:r>
      <w:proofErr w:type="gramEnd"/>
      <w:r w:rsidRPr="00B76402">
        <w:rPr>
          <w:rFonts w:ascii="宋体" w:eastAsia="宋体" w:hAnsi="宋体" w:hint="eastAsia"/>
          <w:sz w:val="24"/>
          <w:szCs w:val="24"/>
        </w:rPr>
        <w:t>相符。</w:t>
      </w:r>
    </w:p>
    <w:p w14:paraId="1F85BA19" w14:textId="0B8B49F4"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事业单位对需要办理权属登记的资产应当依法及时办理。</w:t>
      </w:r>
    </w:p>
    <w:p w14:paraId="684109E0" w14:textId="79A0D4BA"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第三十九条 事业单位应当根据依法履行职能和事业发展的需要，结合资产存量、资产配置标准、绩效目标和财政承受能力配置资产。优先通过调剂方式配置资产。不能调剂的，可以采用购置、建设、租用等方式。</w:t>
      </w:r>
    </w:p>
    <w:p w14:paraId="2224CA71" w14:textId="2A0DE18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第四十条 流动资产是指可以在一年以内变现或者耗用的资产，包括现金、各种存款、应收及预付款项、存货等。</w:t>
      </w:r>
    </w:p>
    <w:p w14:paraId="78771263" w14:textId="7191B88E"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前款所称存货是指事业单位在开展业务活动及其他活动中为耗用或出售而储存的资产，包括材料、燃料、包装物和低值易耗品以及未达到固定资产标准的用具、装具、动植物等。</w:t>
      </w:r>
    </w:p>
    <w:p w14:paraId="0B0948CB" w14:textId="7E62087B"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事业单位货币性资产损失核销，应当经主管部门审核同意后报本级财政部门审批。</w:t>
      </w:r>
    </w:p>
    <w:p w14:paraId="7E3A4BB7" w14:textId="11EC624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第四十一条 固定资产是指使用期限超过一年，单位价值在1000元以上，并在使用过程中基本保持原有物质形态的资产。单位价值虽未达到规定标准，但是耐用时间在一年以上的大批同类物资，作为固定资产管理。</w:t>
      </w:r>
    </w:p>
    <w:p w14:paraId="1D779F9F" w14:textId="3483008E"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行业事业单位的固定资产明细目录由国务院主管部门制定，报国务院财政部门备案。</w:t>
      </w:r>
    </w:p>
    <w:p w14:paraId="11335F38" w14:textId="20B91B5C"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第四十二条 在建工程是指已经发生必要支出，但尚未达到交付使用状态的建设工程。</w:t>
      </w:r>
    </w:p>
    <w:p w14:paraId="7AD8B39E" w14:textId="785B4EBE"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lastRenderedPageBreak/>
        <w:t xml:space="preserve">　　在建工程达到交付使用状态时，应当按照规定办理工程竣工财务决算和资产交付使用，期限最长不得超过1年。</w:t>
      </w:r>
    </w:p>
    <w:p w14:paraId="666FB127" w14:textId="61E8C34F"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第四十三条 无形资产是指不具有实物形态而能为使用者提供某种权利的资产，包括专利权、商标权、著作权、土地使用权、非专利技术以及其他财产权利。</w:t>
      </w:r>
    </w:p>
    <w:p w14:paraId="65EC0FA4" w14:textId="3999AA4E"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事业单位转让无形资产取得的收入、取得无形资产发生的支出，应当按照国家有关规定处理。</w:t>
      </w:r>
    </w:p>
    <w:p w14:paraId="2C20E4B1" w14:textId="532D0C5A"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第四十四条 对外投资是指事业单位依法利用货币资金、实物、无形资产等方式向其他单位的投资。</w:t>
      </w:r>
    </w:p>
    <w:p w14:paraId="04F2132D" w14:textId="023FAC65"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应当严格控制对外投资。利用国有资产对外投资应当有利于事业发展和实现国有资产保值增值，符合国家有关规定，经可行性研究和集体决策，按照规定的权限和程序进行。事业单位不得使用财政拨款及其结余进行对外投资，不得从事股票、期货、基金、企业债券等投资，国家另有规定的除外。</w:t>
      </w:r>
    </w:p>
    <w:p w14:paraId="55D653A7" w14:textId="5FC54E0B"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事业单位应当明确对外投资形成的股权及其相关权益管理责任，按照国家有关规定将对外投资形成的股权纳入经营性国有资产集中统一监管体系。</w:t>
      </w:r>
    </w:p>
    <w:p w14:paraId="1A541140" w14:textId="2F4FF469"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第四十五条 公共基础设施、政府储备物资、文物文化资产、保障性住房等资产管理的具体办法，由国务院财政部门会同有关部门制定。</w:t>
      </w:r>
    </w:p>
    <w:p w14:paraId="26268717" w14:textId="296026A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第四十六条 事业单位资产处置应当遵循公开、公平、公正和竞争、择优的原则，严格履行相关审批程序。</w:t>
      </w:r>
    </w:p>
    <w:p w14:paraId="2F1931BB" w14:textId="68B7AB95"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事业单位出租、出借资产应当严格履行相关审批程序。</w:t>
      </w:r>
    </w:p>
    <w:p w14:paraId="7495AB7F" w14:textId="693E67F1"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第四十七条 事业单位应当在确保安全使用的前提下，推进本单位大型设备等国有资产共享共用工作，可以对提供方给予合理补偿。</w:t>
      </w:r>
    </w:p>
    <w:p w14:paraId="2CE11BCD" w14:textId="7C2B13F9"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第八章 负债管理</w:t>
      </w:r>
    </w:p>
    <w:p w14:paraId="52F45A45" w14:textId="1A266936"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第四十八条 负债是指事业单位所承担的能以货币计量，需要以资产或者劳务偿还的债务。</w:t>
      </w:r>
    </w:p>
    <w:p w14:paraId="0337D7E5" w14:textId="4E9EFC3B"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第四十九条 事业单位的负债包括借入款项、应付款项、暂存款项、应缴款项等。</w:t>
      </w:r>
    </w:p>
    <w:p w14:paraId="106222F8" w14:textId="443F4571"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应缴款</w:t>
      </w:r>
      <w:proofErr w:type="gramStart"/>
      <w:r w:rsidRPr="00B76402">
        <w:rPr>
          <w:rFonts w:ascii="宋体" w:eastAsia="宋体" w:hAnsi="宋体" w:hint="eastAsia"/>
          <w:sz w:val="24"/>
          <w:szCs w:val="24"/>
        </w:rPr>
        <w:t>项包括</w:t>
      </w:r>
      <w:proofErr w:type="gramEnd"/>
      <w:r w:rsidRPr="00B76402">
        <w:rPr>
          <w:rFonts w:ascii="宋体" w:eastAsia="宋体" w:hAnsi="宋体" w:hint="eastAsia"/>
          <w:sz w:val="24"/>
          <w:szCs w:val="24"/>
        </w:rPr>
        <w:t>事业单位按照国家有关规定收取的应当上缴国库或者财政专户的资金、应缴税费，以及其他应当上缴的款项。</w:t>
      </w:r>
    </w:p>
    <w:p w14:paraId="1FE42F1B" w14:textId="4A57CA01"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第五十条 事业单位应当对不同性质的负债分类管理，及时清理并按照规定办理结算，保证各项负债在规定期限内偿还。</w:t>
      </w:r>
    </w:p>
    <w:p w14:paraId="0FEFF355" w14:textId="24ED6CEB"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第五十一条 事业单位应当建立健全财务风险预警和控制机制，规范和加强借入款项管理，如实反映依法举借债务情况，严格执行审批程序，不得违反规定融资或者提供担保。</w:t>
      </w:r>
    </w:p>
    <w:p w14:paraId="0356B32A" w14:textId="1BAA1FB0"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第九章 事业单位清算</w:t>
      </w:r>
    </w:p>
    <w:p w14:paraId="3023F6F9" w14:textId="43784412"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第五十二条 事业单位发生划转、改制、撤销、合并、分立时，应当进行清算。</w:t>
      </w:r>
    </w:p>
    <w:p w14:paraId="6EC68872" w14:textId="77D83210"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第五十三条 事业单位清算，应当在主管部门和财政部门的监督指导下，对单位的财产、债权、债务等进行全面清理，编制财产目录和债权、债务清单，提出财产作价依据和债权、债务处理办法，做好资产和负债的移交、接收、划转和管理工作，并妥善处理各项遗留问题。</w:t>
      </w:r>
    </w:p>
    <w:p w14:paraId="516D5D06" w14:textId="3C05939D"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第五十四条 事业单位清算结束后，经主管部门审核并报财政部门批准，其资产和负债分别按照下列办法处理：</w:t>
      </w:r>
    </w:p>
    <w:p w14:paraId="6B968053" w14:textId="3CFCB4FE"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（一）因隶属关系改变，成建制划转的事业单位，全部资产和负债无偿移交，并相应划转经费指标。</w:t>
      </w:r>
    </w:p>
    <w:p w14:paraId="07C5E57E" w14:textId="45B84EA3"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（二）转为企业的事业单位，全部资产扣除负债后，转作国家资本金。</w:t>
      </w:r>
    </w:p>
    <w:p w14:paraId="4E01D7A2" w14:textId="4AAD9F4D"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（三）撤销的事业单位，全部资产和负债由主管部门和财政部门核准处理。</w:t>
      </w:r>
    </w:p>
    <w:p w14:paraId="37BA38EB" w14:textId="01C52FE2"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（四）合并的事业单位，全部资产和负债移交接收单位或者新组建单位，合并后多余的资产由主管部门和财政部门核准处理。</w:t>
      </w:r>
    </w:p>
    <w:p w14:paraId="7E266BC1" w14:textId="7777777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（五）分立的事业单位，全部资产和负债按照有关规定移交分立后的事业单位，并相应划转经费指标。</w:t>
      </w:r>
    </w:p>
    <w:p w14:paraId="2300C9E5" w14:textId="6BBFA2F5"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lastRenderedPageBreak/>
        <w:t>第十章</w:t>
      </w:r>
      <w:r>
        <w:rPr>
          <w:rFonts w:ascii="宋体" w:eastAsia="宋体" w:hAnsi="宋体"/>
          <w:b/>
          <w:bCs/>
          <w:sz w:val="24"/>
          <w:szCs w:val="24"/>
        </w:rPr>
        <w:t xml:space="preserve"> </w:t>
      </w:r>
      <w:r w:rsidRPr="00B76402">
        <w:rPr>
          <w:rFonts w:ascii="宋体" w:eastAsia="宋体" w:hAnsi="宋体" w:hint="eastAsia"/>
          <w:b/>
          <w:bCs/>
          <w:sz w:val="24"/>
          <w:szCs w:val="24"/>
        </w:rPr>
        <w:t>财务报告和决算报告</w:t>
      </w:r>
    </w:p>
    <w:p w14:paraId="704E168D" w14:textId="31DB7D31"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第五十五条 事业单位应当按国家有关规定向主管部门和财政部门以及其他有关的报告使用者提供财务报告、决算报告。</w:t>
      </w:r>
    </w:p>
    <w:p w14:paraId="7EC4208C" w14:textId="4C5E9698"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事业单位财务会计和预算会计要素的确认、计量、记录、报告应当遵循政府会计准则制度的规定。</w:t>
      </w:r>
    </w:p>
    <w:p w14:paraId="4521887B" w14:textId="63C41E3B"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第五十六条 财务报告主要以权责发生制为基础编制，综合反映事业单位特定日期财务状况和一定时期运行情况等信息。</w:t>
      </w:r>
    </w:p>
    <w:p w14:paraId="327DA6A2" w14:textId="75C8B58A"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第五十七条 财务报告由财务报表和财务分析两部分组成。财务报表主要包括资产负债表、收入费用表等会计报表和报表附注。财务分析的内容主要包括财务状况分析、运行情况分析和财务管理情况等。</w:t>
      </w:r>
    </w:p>
    <w:p w14:paraId="196E676D" w14:textId="2FE975DB"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第五十八条 决算报告主要以收付实现制为基础编制，综合反映事业单位年度预算收支执行结果等信息。</w:t>
      </w:r>
    </w:p>
    <w:p w14:paraId="3B827A85" w14:textId="2A5B1CD0"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第五十九条 决算报告由决算报表和决算分析两部分组成。决算报表主要包括收入支出表、财政拨款收入支出表等。决算分析的内容主要包括收支预算执行分析、资金使用效益分析和机构人员情况等。</w:t>
      </w:r>
    </w:p>
    <w:p w14:paraId="17A30374" w14:textId="56AA94E0"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第十一章</w:t>
      </w:r>
      <w:r w:rsidR="00CF7C96">
        <w:rPr>
          <w:rFonts w:ascii="宋体" w:eastAsia="宋体" w:hAnsi="宋体" w:hint="eastAsia"/>
          <w:b/>
          <w:bCs/>
          <w:sz w:val="24"/>
          <w:szCs w:val="24"/>
        </w:rPr>
        <w:t xml:space="preserve"> </w:t>
      </w:r>
      <w:r w:rsidRPr="00B76402">
        <w:rPr>
          <w:rFonts w:ascii="宋体" w:eastAsia="宋体" w:hAnsi="宋体" w:hint="eastAsia"/>
          <w:b/>
          <w:bCs/>
          <w:sz w:val="24"/>
          <w:szCs w:val="24"/>
        </w:rPr>
        <w:t>财务监督</w:t>
      </w:r>
    </w:p>
    <w:p w14:paraId="63C84963" w14:textId="046D31A1"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第六十条 事业单位财务监督主要包括对预算管理、收入管理、支出管理、结转和结余管理、专用基金管理、资产管理、负债管理等的监督。</w:t>
      </w:r>
    </w:p>
    <w:p w14:paraId="15B44969" w14:textId="6C15ADB3"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第六十一条 事业单位财务监督应当实行事前监督、事中监督、事后监督相结合，日常监督与专项监督相结合。</w:t>
      </w:r>
    </w:p>
    <w:p w14:paraId="407110F2" w14:textId="16B59F6B"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第六十二条 事业单位应当建立健全内部控制制度、经济责任制度、财务信息披露制度等监督制度，依法公开财务信息。</w:t>
      </w:r>
    </w:p>
    <w:p w14:paraId="4CA3D88C" w14:textId="50B19B38"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第六十三条 事业单位应当遵守财经纪律和财务制度，依法接受主管部门和财政、审计部门的监督。</w:t>
      </w:r>
    </w:p>
    <w:p w14:paraId="44B75B62" w14:textId="489C9AE5"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第六十四条 各级事业单位、主管部门和财政部门及其工作人员存在违反本规则规定的行为，以及其他滥用职权、玩忽职守、徇私舞弊等违法违规行为的，依法追究相应责任。</w:t>
      </w:r>
    </w:p>
    <w:p w14:paraId="4939A75A" w14:textId="2BF8EDEA" w:rsidR="00B76402" w:rsidRPr="00B76402" w:rsidRDefault="00B76402" w:rsidP="00B76402">
      <w:pPr>
        <w:spacing w:line="0" w:lineRule="atLeast"/>
        <w:jc w:val="center"/>
        <w:rPr>
          <w:rFonts w:ascii="宋体" w:eastAsia="宋体" w:hAnsi="宋体" w:hint="eastAsia"/>
          <w:sz w:val="24"/>
          <w:szCs w:val="24"/>
        </w:rPr>
      </w:pPr>
      <w:r w:rsidRPr="00B76402">
        <w:rPr>
          <w:rFonts w:ascii="宋体" w:eastAsia="宋体" w:hAnsi="宋体" w:hint="eastAsia"/>
          <w:b/>
          <w:bCs/>
          <w:sz w:val="24"/>
          <w:szCs w:val="24"/>
        </w:rPr>
        <w:t>第十二章 附</w:t>
      </w:r>
      <w:r w:rsidRPr="00B76402">
        <w:rPr>
          <w:rFonts w:ascii="宋体" w:eastAsia="宋体" w:hAnsi="宋体" w:hint="eastAsia"/>
          <w:b/>
          <w:bCs/>
          <w:sz w:val="24"/>
          <w:szCs w:val="24"/>
        </w:rPr>
        <w:t xml:space="preserve"> </w:t>
      </w:r>
      <w:r w:rsidRPr="00B76402">
        <w:rPr>
          <w:rFonts w:ascii="宋体" w:eastAsia="宋体" w:hAnsi="宋体" w:hint="eastAsia"/>
          <w:b/>
          <w:bCs/>
          <w:sz w:val="24"/>
          <w:szCs w:val="24"/>
        </w:rPr>
        <w:t>则</w:t>
      </w:r>
    </w:p>
    <w:p w14:paraId="43D5FEFD" w14:textId="3AEF1E14"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第六十五条 事业单位基本建设投资的财务管理，应当执行本规则，但国家基本建设投资财务管理制度另有规定的，从其规定。</w:t>
      </w:r>
    </w:p>
    <w:p w14:paraId="03A3FAD8" w14:textId="0261CBC6"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第六十六条 参照公务员法管理的事业单位财务制度的适用，由国务院财政部门另行规定。</w:t>
      </w:r>
    </w:p>
    <w:p w14:paraId="44DAD628" w14:textId="7CD30A9F"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第六十七条 接受国家经常性资助的社会力量举办的公益服务性组织和社会团体，依照本规则执行；其他社会力量举办的公益服务性组织和社会团体，可以参照本规则执行。</w:t>
      </w:r>
    </w:p>
    <w:p w14:paraId="1A56A462" w14:textId="474B6F99"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第六十八条 下列事业单位或者事业单位特定项目，执行企业财务制度，不执行本规则：</w:t>
      </w:r>
    </w:p>
    <w:p w14:paraId="08ED1401" w14:textId="34051879"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（一）纳入企业财务管理体系的事业单位和事业单位附属独立核算的生产经营单位；</w:t>
      </w:r>
    </w:p>
    <w:p w14:paraId="0A251A05" w14:textId="4288B645"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（二）事业单位经营的接受外单位要求投资回报的项目；</w:t>
      </w:r>
    </w:p>
    <w:p w14:paraId="4C63F95F" w14:textId="582EFA70"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（三）经主管部门和财政部门批准的具备条件的其他事业单位。</w:t>
      </w:r>
    </w:p>
    <w:p w14:paraId="32629D42" w14:textId="1D4A754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第六十九条 行业特点突出，需要制定行业事业单位财务管理制度的，由国务院财政部门会同有关主管部门根据本规则制定。</w:t>
      </w:r>
    </w:p>
    <w:p w14:paraId="0C37CE76" w14:textId="4C81EF6C"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第七十条 省、自治区、直辖市人民政府财政部门可以根据本规则结合本地区实际情况制定事业单位具体财务管理办法。</w:t>
      </w:r>
    </w:p>
    <w:p w14:paraId="53F84468" w14:textId="2FCAD8C7" w:rsidR="00B76402" w:rsidRPr="00B76402" w:rsidRDefault="00B76402" w:rsidP="00B76402">
      <w:pPr>
        <w:spacing w:line="0" w:lineRule="atLeast"/>
        <w:rPr>
          <w:rFonts w:ascii="宋体" w:eastAsia="宋体" w:hAnsi="宋体" w:hint="eastAsia"/>
          <w:sz w:val="24"/>
          <w:szCs w:val="24"/>
        </w:rPr>
      </w:pPr>
      <w:r w:rsidRPr="00B76402">
        <w:rPr>
          <w:rFonts w:ascii="宋体" w:eastAsia="宋体" w:hAnsi="宋体" w:hint="eastAsia"/>
          <w:sz w:val="24"/>
          <w:szCs w:val="24"/>
        </w:rPr>
        <w:t xml:space="preserve">　　第七十一条 本规则自2022年3月1日起施行。《事业单位财务规则》（财政部令第68号）同时废止。</w:t>
      </w:r>
    </w:p>
    <w:p w14:paraId="1D887FB3" w14:textId="0EF3C7B5" w:rsidR="001D74A7" w:rsidRPr="00CB23BE" w:rsidRDefault="00CB23BE" w:rsidP="00CB23BE">
      <w:pPr>
        <w:ind w:firstLine="420"/>
        <w:rPr>
          <w:rFonts w:ascii="宋体" w:eastAsia="宋体" w:hAnsi="宋体"/>
          <w:sz w:val="24"/>
          <w:szCs w:val="24"/>
        </w:rPr>
      </w:pPr>
      <w:r w:rsidRPr="00CB23BE">
        <w:rPr>
          <w:rFonts w:ascii="宋体" w:eastAsia="宋体" w:hAnsi="宋体" w:hint="eastAsia"/>
          <w:sz w:val="24"/>
          <w:szCs w:val="24"/>
        </w:rPr>
        <w:t>【来源：2</w:t>
      </w:r>
      <w:r w:rsidRPr="00CB23BE">
        <w:rPr>
          <w:rFonts w:ascii="宋体" w:eastAsia="宋体" w:hAnsi="宋体"/>
          <w:sz w:val="24"/>
          <w:szCs w:val="24"/>
        </w:rPr>
        <w:t>022</w:t>
      </w:r>
      <w:r w:rsidRPr="00CB23BE">
        <w:rPr>
          <w:rFonts w:ascii="宋体" w:eastAsia="宋体" w:hAnsi="宋体" w:hint="eastAsia"/>
          <w:sz w:val="24"/>
          <w:szCs w:val="24"/>
        </w:rPr>
        <w:t>年1月1</w:t>
      </w:r>
      <w:r w:rsidRPr="00CB23BE">
        <w:rPr>
          <w:rFonts w:ascii="宋体" w:eastAsia="宋体" w:hAnsi="宋体"/>
          <w:sz w:val="24"/>
          <w:szCs w:val="24"/>
        </w:rPr>
        <w:t>8</w:t>
      </w:r>
      <w:r w:rsidRPr="00CB23BE">
        <w:rPr>
          <w:rFonts w:ascii="宋体" w:eastAsia="宋体" w:hAnsi="宋体" w:hint="eastAsia"/>
          <w:sz w:val="24"/>
          <w:szCs w:val="24"/>
        </w:rPr>
        <w:t>日，财政部官网】</w:t>
      </w:r>
    </w:p>
    <w:p w14:paraId="2643B7ED" w14:textId="77777777" w:rsidR="00CB23BE" w:rsidRPr="00CB23BE" w:rsidRDefault="00CB23BE" w:rsidP="00CB23BE">
      <w:pPr>
        <w:rPr>
          <w:rFonts w:ascii="宋体" w:eastAsia="宋体" w:hAnsi="宋体" w:hint="eastAsia"/>
          <w:sz w:val="24"/>
          <w:szCs w:val="24"/>
        </w:rPr>
      </w:pPr>
    </w:p>
    <w:sectPr w:rsidR="00CB23BE" w:rsidRPr="00CB23BE" w:rsidSect="0003301D">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73AC" w14:textId="77777777" w:rsidR="00E25072" w:rsidRDefault="00E25072" w:rsidP="00B76402">
      <w:r>
        <w:separator/>
      </w:r>
    </w:p>
  </w:endnote>
  <w:endnote w:type="continuationSeparator" w:id="0">
    <w:p w14:paraId="65018259" w14:textId="77777777" w:rsidR="00E25072" w:rsidRDefault="00E25072" w:rsidP="00B7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088104"/>
      <w:docPartObj>
        <w:docPartGallery w:val="Page Numbers (Bottom of Page)"/>
        <w:docPartUnique/>
      </w:docPartObj>
    </w:sdtPr>
    <w:sdtContent>
      <w:p w14:paraId="1565B2C8" w14:textId="7FD2D735" w:rsidR="00B76402" w:rsidRDefault="00B76402">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B3F9" w14:textId="77777777" w:rsidR="00E25072" w:rsidRDefault="00E25072" w:rsidP="00B76402">
      <w:r>
        <w:separator/>
      </w:r>
    </w:p>
  </w:footnote>
  <w:footnote w:type="continuationSeparator" w:id="0">
    <w:p w14:paraId="6A188F6B" w14:textId="77777777" w:rsidR="00E25072" w:rsidRDefault="00E25072" w:rsidP="00B76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29"/>
    <w:rsid w:val="0003301D"/>
    <w:rsid w:val="001D74A7"/>
    <w:rsid w:val="00970D29"/>
    <w:rsid w:val="00AE5B64"/>
    <w:rsid w:val="00B76402"/>
    <w:rsid w:val="00CB23BE"/>
    <w:rsid w:val="00CF7C96"/>
    <w:rsid w:val="00E25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A9BA1"/>
  <w15:chartTrackingRefBased/>
  <w15:docId w15:val="{D95FEB2B-0DCB-4949-A9AC-6ECD2216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4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6402"/>
    <w:rPr>
      <w:sz w:val="18"/>
      <w:szCs w:val="18"/>
    </w:rPr>
  </w:style>
  <w:style w:type="paragraph" w:styleId="a5">
    <w:name w:val="footer"/>
    <w:basedOn w:val="a"/>
    <w:link w:val="a6"/>
    <w:uiPriority w:val="99"/>
    <w:unhideWhenUsed/>
    <w:rsid w:val="00B76402"/>
    <w:pPr>
      <w:tabs>
        <w:tab w:val="center" w:pos="4153"/>
        <w:tab w:val="right" w:pos="8306"/>
      </w:tabs>
      <w:snapToGrid w:val="0"/>
      <w:jc w:val="left"/>
    </w:pPr>
    <w:rPr>
      <w:sz w:val="18"/>
      <w:szCs w:val="18"/>
    </w:rPr>
  </w:style>
  <w:style w:type="character" w:customStyle="1" w:styleId="a6">
    <w:name w:val="页脚 字符"/>
    <w:basedOn w:val="a0"/>
    <w:link w:val="a5"/>
    <w:uiPriority w:val="99"/>
    <w:rsid w:val="00B764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9695">
      <w:bodyDiv w:val="1"/>
      <w:marLeft w:val="0"/>
      <w:marRight w:val="0"/>
      <w:marTop w:val="0"/>
      <w:marBottom w:val="0"/>
      <w:divBdr>
        <w:top w:val="none" w:sz="0" w:space="0" w:color="auto"/>
        <w:left w:val="none" w:sz="0" w:space="0" w:color="auto"/>
        <w:bottom w:val="none" w:sz="0" w:space="0" w:color="auto"/>
        <w:right w:val="none" w:sz="0" w:space="0" w:color="auto"/>
      </w:divBdr>
      <w:divsChild>
        <w:div w:id="1202323950">
          <w:marLeft w:val="0"/>
          <w:marRight w:val="0"/>
          <w:marTop w:val="0"/>
          <w:marBottom w:val="0"/>
          <w:divBdr>
            <w:top w:val="none" w:sz="0" w:space="0" w:color="auto"/>
            <w:left w:val="none" w:sz="0" w:space="0" w:color="auto"/>
            <w:bottom w:val="none" w:sz="0" w:space="0" w:color="auto"/>
            <w:right w:val="none" w:sz="0" w:space="0" w:color="auto"/>
          </w:divBdr>
          <w:divsChild>
            <w:div w:id="106394951">
              <w:marLeft w:val="0"/>
              <w:marRight w:val="0"/>
              <w:marTop w:val="0"/>
              <w:marBottom w:val="0"/>
              <w:divBdr>
                <w:top w:val="none" w:sz="0" w:space="0" w:color="auto"/>
                <w:left w:val="none" w:sz="0" w:space="0" w:color="auto"/>
                <w:bottom w:val="none" w:sz="0" w:space="0" w:color="auto"/>
                <w:right w:val="none" w:sz="0" w:space="0" w:color="auto"/>
              </w:divBdr>
              <w:divsChild>
                <w:div w:id="1801143898">
                  <w:marLeft w:val="0"/>
                  <w:marRight w:val="0"/>
                  <w:marTop w:val="0"/>
                  <w:marBottom w:val="0"/>
                  <w:divBdr>
                    <w:top w:val="none" w:sz="0" w:space="0" w:color="auto"/>
                    <w:left w:val="none" w:sz="0" w:space="0" w:color="auto"/>
                    <w:bottom w:val="none" w:sz="0" w:space="0" w:color="auto"/>
                    <w:right w:val="none" w:sz="0" w:space="0" w:color="auto"/>
                  </w:divBdr>
                  <w:divsChild>
                    <w:div w:id="970473699">
                      <w:marLeft w:val="0"/>
                      <w:marRight w:val="0"/>
                      <w:marTop w:val="0"/>
                      <w:marBottom w:val="0"/>
                      <w:divBdr>
                        <w:top w:val="none" w:sz="0" w:space="0" w:color="auto"/>
                        <w:left w:val="none" w:sz="0" w:space="0" w:color="auto"/>
                        <w:bottom w:val="none" w:sz="0" w:space="0" w:color="auto"/>
                        <w:right w:val="none" w:sz="0" w:space="0" w:color="auto"/>
                      </w:divBdr>
                      <w:divsChild>
                        <w:div w:id="1253468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8</cp:revision>
  <dcterms:created xsi:type="dcterms:W3CDTF">2022-01-18T13:21:00Z</dcterms:created>
  <dcterms:modified xsi:type="dcterms:W3CDTF">2022-01-18T13:30:00Z</dcterms:modified>
</cp:coreProperties>
</file>