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C366" w14:textId="77777777" w:rsidR="003A6C85" w:rsidRPr="003A6C85" w:rsidRDefault="003A6C85" w:rsidP="003A6C85">
      <w:pPr>
        <w:spacing w:line="0" w:lineRule="atLeast"/>
        <w:jc w:val="center"/>
        <w:rPr>
          <w:rFonts w:ascii="宋体" w:eastAsia="宋体" w:hAnsi="宋体"/>
          <w:b/>
          <w:bCs/>
        </w:rPr>
      </w:pPr>
      <w:r w:rsidRPr="003A6C85">
        <w:rPr>
          <w:rFonts w:ascii="宋体" w:eastAsia="宋体" w:hAnsi="宋体" w:hint="eastAsia"/>
          <w:b/>
          <w:bCs/>
        </w:rPr>
        <w:t>国务院办公厅关于进一步做好高校毕业生等青年就业创业工作的通知</w:t>
      </w:r>
    </w:p>
    <w:p w14:paraId="32AF00DD" w14:textId="77777777" w:rsidR="003A6C85" w:rsidRPr="003A6C85" w:rsidRDefault="003A6C85" w:rsidP="003A6C85">
      <w:pPr>
        <w:spacing w:line="0" w:lineRule="atLeast"/>
        <w:jc w:val="center"/>
        <w:rPr>
          <w:rFonts w:ascii="宋体" w:eastAsia="宋体" w:hAnsi="宋体" w:hint="eastAsia"/>
        </w:rPr>
      </w:pPr>
      <w:r w:rsidRPr="003A6C85">
        <w:rPr>
          <w:rFonts w:ascii="宋体" w:eastAsia="宋体" w:hAnsi="宋体" w:hint="eastAsia"/>
        </w:rPr>
        <w:t>国办发〔2022〕13号</w:t>
      </w:r>
    </w:p>
    <w:p w14:paraId="7EC0EBD5"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各省、自治区、直辖市人民政府，国务院各部委、各直属机构：</w:t>
      </w:r>
    </w:p>
    <w:p w14:paraId="4A244A82"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高校毕业生等青年就业关系民生福祉、经济发展和国家未来。为贯彻落实党中央、国务院决策部署，做好当前和今后一段时期高校毕业生等青年就业创业工作，经国务院同意，现就有关事项通知如下。</w:t>
      </w:r>
    </w:p>
    <w:p w14:paraId="6D4B2814"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w:t>
      </w:r>
      <w:r w:rsidRPr="003A6C85">
        <w:rPr>
          <w:rFonts w:ascii="宋体" w:eastAsia="宋体" w:hAnsi="宋体" w:hint="eastAsia"/>
          <w:b/>
          <w:bCs/>
        </w:rPr>
        <w:t>一、多渠道开发就业岗位</w:t>
      </w:r>
    </w:p>
    <w:p w14:paraId="774D72B6"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一）扩大企业就业规模。坚持在推动高质量发展中强化就业优先导向，加快建设现代化经济体系，推进制造业转型升级，壮大战略性新兴产业，大力发展现代服务业，提供更多适合高校毕业生的就业岗位。支持中小</w:t>
      </w:r>
      <w:proofErr w:type="gramStart"/>
      <w:r w:rsidRPr="003A6C85">
        <w:rPr>
          <w:rFonts w:ascii="宋体" w:eastAsia="宋体" w:hAnsi="宋体" w:hint="eastAsia"/>
        </w:rPr>
        <w:t>微企业</w:t>
      </w:r>
      <w:proofErr w:type="gramEnd"/>
      <w:r w:rsidRPr="003A6C85">
        <w:rPr>
          <w:rFonts w:ascii="宋体" w:eastAsia="宋体" w:hAnsi="宋体" w:hint="eastAsia"/>
        </w:rPr>
        <w:t>更多吸纳高校毕业生就业，按规定给予社会保险补贴、创业担保贷款及贴息、税费减免等扶持政策，对吸纳高校毕业生就业达到一定数量且符合相关条件的中小微企业，在安排</w:t>
      </w:r>
      <w:proofErr w:type="gramStart"/>
      <w:r w:rsidRPr="003A6C85">
        <w:rPr>
          <w:rFonts w:ascii="宋体" w:eastAsia="宋体" w:hAnsi="宋体" w:hint="eastAsia"/>
        </w:rPr>
        <w:t>纾</w:t>
      </w:r>
      <w:proofErr w:type="gramEnd"/>
      <w:r w:rsidRPr="003A6C85">
        <w:rPr>
          <w:rFonts w:ascii="宋体" w:eastAsia="宋体" w:hAnsi="宋体" w:hint="eastAsia"/>
        </w:rPr>
        <w:t>困资金、提供技术改造贷款贴息时予以倾斜；对招用毕业年度高校毕业生并签订1年以上劳动合同的中小微企业，给予一次性吸纳就业补贴，政策实施期限截至2022年12月31日；建立中小</w:t>
      </w:r>
      <w:proofErr w:type="gramStart"/>
      <w:r w:rsidRPr="003A6C85">
        <w:rPr>
          <w:rFonts w:ascii="宋体" w:eastAsia="宋体" w:hAnsi="宋体" w:hint="eastAsia"/>
        </w:rPr>
        <w:t>微企业</w:t>
      </w:r>
      <w:proofErr w:type="gramEnd"/>
      <w:r w:rsidRPr="003A6C85">
        <w:rPr>
          <w:rFonts w:ascii="宋体" w:eastAsia="宋体" w:hAnsi="宋体" w:hint="eastAsia"/>
        </w:rPr>
        <w:t>专业技术人员职称评定绿色通道和申报兜底机制，健全职业技能等级（岗位）设置，完善职业技能等级认定机制，落实科研项目经费申请、科研成果等申报与国有企事业单位同类人员同等待遇。设置好“红灯”、“绿灯”，促进平台经济健康发展，带动更多就业。稳定扩大国有企业招聘规模，指导企业规范发布招聘信息，推进公开招聘。（国家发展改革委、科技部、工业和信息化部、财政部、人力资源社会保障部、商务部、人民银行、国务院国资委、税务总局、市场监管总局等按职责分工负责）</w:t>
      </w:r>
    </w:p>
    <w:p w14:paraId="71369C3C"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二）拓宽基层就业空间。结合实施区域协调发展、乡村振兴等战略，适应基层治理能力现代化建设需要，统筹用好各方资源，挖掘基层就业社保、医疗卫生、养老服务、社会工作、司法辅助等就业机会。社区专职工作岗位出现空缺要优先招用或拿出一定数量专门招用高校毕业生。继续实施“三支一扶”计划、农村</w:t>
      </w:r>
      <w:proofErr w:type="gramStart"/>
      <w:r w:rsidRPr="003A6C85">
        <w:rPr>
          <w:rFonts w:ascii="宋体" w:eastAsia="宋体" w:hAnsi="宋体" w:hint="eastAsia"/>
        </w:rPr>
        <w:t>特</w:t>
      </w:r>
      <w:proofErr w:type="gramEnd"/>
      <w:r w:rsidRPr="003A6C85">
        <w:rPr>
          <w:rFonts w:ascii="宋体" w:eastAsia="宋体" w:hAnsi="宋体" w:hint="eastAsia"/>
        </w:rPr>
        <w:t>岗教师计划、大学生志愿服务西部计划等基层服务项目，合理确定招募规模。对到中西部地区、艰苦边远地区、老工业基地县以下基层单位就业的高校毕业生，按规定给予学费补偿和国家助学贷款代偿、高定工资等政策，对其中招聘为事业单位正式工作人员的，可按规定提前转正定级。（中央组织部、最高人民法院、最高人民检察院、教育部、民政部、财政部、人力资源社会保障部、农业农村部、国家卫生健康委、共青团中央等按职责分工负责）</w:t>
      </w:r>
    </w:p>
    <w:p w14:paraId="5714AE32"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三）支持自主创业和灵活就业。落实大众创业、万众创新相关政策，深化高校创新创业教育改革，健全教育体系和培养机制，汇集优质创新创业培训资源，对高校毕业生开展针对性培训，按规定给予职业培训补贴。支持高校毕业生自主创业，按规定给予一次性创业补贴、创业担保贷款及贴息、税费减免等政策，政府投资开发的创业载体要安排30%左右的场地免费向高校毕业生创业者提供。支持高校毕业生发挥专业所长从事灵活就业，对毕业年度和离校2年内未就业高校毕业生实现灵活就业的，按规定给予社会保险补贴。（国家发展改革委、教育部、科技部、财政部、人力资源社会保障部、人民银行、税务总局、市场监管总局等按职责分工负责）</w:t>
      </w:r>
    </w:p>
    <w:p w14:paraId="4F6B8C81"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四）稳定公共部门岗位规模。今明两年要继续稳定机关事业单位招录（聘）高校毕业生的规模。深化落实基层法官检察官助理规范便捷招录机制，畅通政法专业高校毕业生进入基层司法机关就业渠道。支持承担国家科技计划（专项、基金等）的高校、科研院所和企业扩大科研助理岗位规模。充分考虑新冠肺炎疫情影响和高校毕业生就业需要，合理安排公共部门招录（聘）和相关职业资格考试时间。受疫情影响严重地区，在2022年12月31日前可实施中小学、幼儿园、中等职业学校教师资格“先上岗、再考证”阶段性措施。（中央组织部、最高人民法院、最高人民检察院、教育部、科技部、人力资源社会保障部等按职责分工负责）</w:t>
      </w:r>
    </w:p>
    <w:p w14:paraId="6BFA109F"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w:t>
      </w:r>
      <w:r w:rsidRPr="003A6C85">
        <w:rPr>
          <w:rFonts w:ascii="宋体" w:eastAsia="宋体" w:hAnsi="宋体" w:hint="eastAsia"/>
          <w:b/>
          <w:bCs/>
        </w:rPr>
        <w:t>二、强化不断线就业服务</w:t>
      </w:r>
    </w:p>
    <w:p w14:paraId="735C82D8"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（五）精准开展困难帮扶。要把有劳动能力和就业意愿的脱贫家庭、</w:t>
      </w:r>
      <w:proofErr w:type="gramStart"/>
      <w:r w:rsidRPr="003A6C85">
        <w:rPr>
          <w:rFonts w:ascii="宋体" w:eastAsia="宋体" w:hAnsi="宋体" w:hint="eastAsia"/>
        </w:rPr>
        <w:t>低保家庭</w:t>
      </w:r>
      <w:proofErr w:type="gramEnd"/>
      <w:r w:rsidRPr="003A6C85">
        <w:rPr>
          <w:rFonts w:ascii="宋体" w:eastAsia="宋体" w:hAnsi="宋体" w:hint="eastAsia"/>
        </w:rPr>
        <w:t>、</w:t>
      </w:r>
      <w:proofErr w:type="gramStart"/>
      <w:r w:rsidRPr="003A6C85">
        <w:rPr>
          <w:rFonts w:ascii="宋体" w:eastAsia="宋体" w:hAnsi="宋体" w:hint="eastAsia"/>
        </w:rPr>
        <w:t>零就业</w:t>
      </w:r>
      <w:proofErr w:type="gramEnd"/>
      <w:r w:rsidRPr="003A6C85">
        <w:rPr>
          <w:rFonts w:ascii="宋体" w:eastAsia="宋体" w:hAnsi="宋体" w:hint="eastAsia"/>
        </w:rPr>
        <w:t>家庭高校毕业生，以及残疾高校毕业生和长期失业高校毕业生作为就业援助的重点对象，提供“一人一档”、“一人</w:t>
      </w:r>
      <w:proofErr w:type="gramStart"/>
      <w:r w:rsidRPr="003A6C85">
        <w:rPr>
          <w:rFonts w:ascii="宋体" w:eastAsia="宋体" w:hAnsi="宋体" w:hint="eastAsia"/>
        </w:rPr>
        <w:t>一</w:t>
      </w:r>
      <w:proofErr w:type="gramEnd"/>
      <w:r w:rsidRPr="003A6C85">
        <w:rPr>
          <w:rFonts w:ascii="宋体" w:eastAsia="宋体" w:hAnsi="宋体" w:hint="eastAsia"/>
        </w:rPr>
        <w:t>策”精准服务，为每人至少提供3—5个针对性岗位信息，优先组织参加职业培训和就业见习，及时兑现一次性求职创业补贴，千方百计促进其就业创业。对通过市场渠道确实难以就业的困难高校毕业生，可通过公益性岗位兜底安置。实施“中央专项彩票公益金宏志助航计划”，面向困难高校毕业生开展就业能力培训。实施共青团促进大学生就业行动，面向低收入家庭高校毕业生开展就业结对帮扶。及时将符合条件的高校毕业生纳入临时救助等社会救助范围。实施国家助学贷款延期还款、减免利息等支持举措，延期期间不计复利、不收罚息、不作为逾期记录报送。（教育部、民政部、财政部、人力资源社会保障部、人民银行、共青团中央、中国残联、开发银行等按职责分工负责）</w:t>
      </w:r>
    </w:p>
    <w:p w14:paraId="3F1485A4"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六）优化招聘服务。推进公共就业服务进校园，逐步实现公共就业招聘平台和高校校园网招聘信息共享。建立高校毕业生就业岗位归集机制，广泛收集机关事业单位、各类企业、重大项目等高校毕业生就业岗位需求计划，集中向社会发布并动态更新。构建权威公信的高校毕业生就业服务平台，密集</w:t>
      </w:r>
      <w:proofErr w:type="gramStart"/>
      <w:r w:rsidRPr="003A6C85">
        <w:rPr>
          <w:rFonts w:ascii="宋体" w:eastAsia="宋体" w:hAnsi="宋体" w:hint="eastAsia"/>
        </w:rPr>
        <w:t>组织线</w:t>
      </w:r>
      <w:proofErr w:type="gramEnd"/>
      <w:r w:rsidRPr="003A6C85">
        <w:rPr>
          <w:rFonts w:ascii="宋体" w:eastAsia="宋体" w:hAnsi="宋体" w:hint="eastAsia"/>
        </w:rPr>
        <w:t>上线下专项招聘服务，扩大国家24365大学生就业服务平台、百日千万网络招聘、“千校万岗”、中小企业网</w:t>
      </w:r>
      <w:r w:rsidRPr="003A6C85">
        <w:rPr>
          <w:rFonts w:ascii="宋体" w:eastAsia="宋体" w:hAnsi="宋体" w:hint="eastAsia"/>
        </w:rPr>
        <w:lastRenderedPageBreak/>
        <w:t>上百日招聘等招聘平台和活动影响力。积极组织服务机构、用人单位进校园招聘。（教育部、工业和信息化部、人力资源社会保障部、国务院国资委、共青团中央、全国工商联等按职责分工负责）</w:t>
      </w:r>
    </w:p>
    <w:p w14:paraId="1157B115"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七）加强就业指导。健全高校学生生涯规划与就业指导体系，开展就业育人主题教育活动，引导高校毕业生树立正确的职业观、就业观和择业观。注重理论与实践相结合，开展多种形式的模拟实训、职业体验等实践教学，组织高校毕业生走进人力资源市场，参加职业能力测评，接受现场指导。高校要按一定比例配齐配</w:t>
      </w:r>
      <w:proofErr w:type="gramStart"/>
      <w:r w:rsidRPr="003A6C85">
        <w:rPr>
          <w:rFonts w:ascii="宋体" w:eastAsia="宋体" w:hAnsi="宋体" w:hint="eastAsia"/>
        </w:rPr>
        <w:t>强就业</w:t>
      </w:r>
      <w:proofErr w:type="gramEnd"/>
      <w:r w:rsidRPr="003A6C85">
        <w:rPr>
          <w:rFonts w:ascii="宋体" w:eastAsia="宋体" w:hAnsi="宋体" w:hint="eastAsia"/>
        </w:rPr>
        <w:t>指导教师，就业指导教师可参加相关职称评审。打造一批大学生就业指导名师、优秀职业指导师、优秀就业指导课程和教材。举办全国大学生职业规划大赛，增强大学生生涯规划意识，指导其及早做好就业准备。（教育部、人力资源社会保障部、共青团中央等按职责分工负责）</w:t>
      </w:r>
    </w:p>
    <w:p w14:paraId="6C313790"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八）落实实名服务。深入实施离校未就业高校毕业生就业创业促进计划，强化教育、人力资源社会保障部门离校前后信息衔接，持续跟进落实实名服务。运用线上失业登记、求职登记小程序、基层摸排等各类渠道，与有就业意愿的离校未就业高校毕业生普遍联系，为每人免费提供1次职业指导、3次岗位推荐、1次职业培训或就业见习机会。（人力资源社会保障部牵头，教育部等按职责分工负责）</w:t>
      </w:r>
    </w:p>
    <w:p w14:paraId="372D6D59"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九）维护就业权益。开展平等就业相关法律法规和政策宣传，坚决防止和纠正性别、年龄、学历等就业歧视，依法打击“黑职介”、虚假招聘、售卖简历等违法犯罪活动，坚决治理付费实习、滥用试用期、拖欠试用期工资等违规行为。督促用人单位与高校毕业生签订劳动（聘用）合同或就业协议书，明确双方的权利义务、违约责任及处理方式，维护高校毕业生合法就业权益。对存在就业歧视、欺诈等问题的用人单位，及时向高校毕业生发布警示提醒。（教育部、公安部、人力资源社会保障部、市场监管总局、全国妇联等按职责分工负责）</w:t>
      </w:r>
    </w:p>
    <w:p w14:paraId="64C8C7AC"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w:t>
      </w:r>
      <w:r w:rsidRPr="003A6C85">
        <w:rPr>
          <w:rFonts w:ascii="宋体" w:eastAsia="宋体" w:hAnsi="宋体" w:hint="eastAsia"/>
          <w:b/>
          <w:bCs/>
        </w:rPr>
        <w:t>三、简化优化求职就业手续</w:t>
      </w:r>
    </w:p>
    <w:p w14:paraId="05A0F13F"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稳妥有序推动取消就业报到证。从2023年起，不再发放《全国普通高等学校本专科毕业生就业报到证》和《全国毕业研究生就业报到证》（以下统称就业报到证），取消就业报到证补办、改派手续，不再将就业报到证作为办理高校毕业生招聘录用、落户、档案接收转递等手续的必需材料。（中央组织部、教育部、公安部、人力资源社会保障部等按职责分工负责）</w:t>
      </w:r>
    </w:p>
    <w:p w14:paraId="0A53B69C"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一）提供求职就业便利。取消高校毕业生离校前公共就业人才服务机构在就业协议书上签章环节，取消高校毕业生离校后到公共就业人才服务机构办理报到手续。应届高校毕业生可凭普通高等教育学历证书、与用人单位签订的劳动（聘用）合同或就业协议书，在就业地办理落户手续（超大城市按现有规定执行）；可凭普通高等教育学历证书，在原户籍地办理落户手续。教育部门要健全高校毕业生网上签约系统，方便用人单位与高校毕业生网上签约，鼓励受疫情影响地区用人单位与高校毕业生实行网上签约。对延迟离校的应届高校毕业生，相应延长报到入职、档案转递、落户办理时限。（教育部、公安部、人力资源社会保障部等按职责分工负责）</w:t>
      </w:r>
    </w:p>
    <w:p w14:paraId="48914567"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（十二）积极稳妥转递档案。高校要及时将毕业生登记表、成绩单等重要材料归入学生档案，按照有关规定有序转递。到机关、国有企事业单位就业或定向招生就业的，转递</w:t>
      </w:r>
      <w:proofErr w:type="gramStart"/>
      <w:r w:rsidRPr="003A6C85">
        <w:rPr>
          <w:rFonts w:ascii="宋体" w:eastAsia="宋体" w:hAnsi="宋体" w:hint="eastAsia"/>
        </w:rPr>
        <w:t>至就业</w:t>
      </w:r>
      <w:proofErr w:type="gramEnd"/>
      <w:r w:rsidRPr="003A6C85">
        <w:rPr>
          <w:rFonts w:ascii="宋体" w:eastAsia="宋体" w:hAnsi="宋体" w:hint="eastAsia"/>
        </w:rPr>
        <w:t>单位或定向单位；到非</w:t>
      </w:r>
      <w:proofErr w:type="gramStart"/>
      <w:r w:rsidRPr="003A6C85">
        <w:rPr>
          <w:rFonts w:ascii="宋体" w:eastAsia="宋体" w:hAnsi="宋体" w:hint="eastAsia"/>
        </w:rPr>
        <w:t>公单位</w:t>
      </w:r>
      <w:proofErr w:type="gramEnd"/>
      <w:r w:rsidRPr="003A6C85">
        <w:rPr>
          <w:rFonts w:ascii="宋体" w:eastAsia="宋体" w:hAnsi="宋体" w:hint="eastAsia"/>
        </w:rPr>
        <w:t>就业的，转递</w:t>
      </w:r>
      <w:proofErr w:type="gramStart"/>
      <w:r w:rsidRPr="003A6C85">
        <w:rPr>
          <w:rFonts w:ascii="宋体" w:eastAsia="宋体" w:hAnsi="宋体" w:hint="eastAsia"/>
        </w:rPr>
        <w:t>至就业地</w:t>
      </w:r>
      <w:proofErr w:type="gramEnd"/>
      <w:r w:rsidRPr="003A6C85">
        <w:rPr>
          <w:rFonts w:ascii="宋体" w:eastAsia="宋体" w:hAnsi="宋体" w:hint="eastAsia"/>
        </w:rPr>
        <w:t>或户籍地公共就业人才服务机构；暂未就业的，转递至户籍地公共就业人才服务机构。档案涉密的应通过机要通信或派专人转递。公共就业人才服务机构要主动加强与高校的沟通衔接，动态更新机构服务信息，积极推进档案政策宣传服务进校园，及时接收符合转递规定的学生档案。档案管理部门要及时向社会公布服务机构名录和联系方式。（中央组织部、教育部、人力资源社会保障部、国家邮政局等按职责分工负责）</w:t>
      </w:r>
    </w:p>
    <w:p w14:paraId="08206C3E"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三）完善毕业去向登记。从2023年起，教育部门建立高校毕业生毕业去向登记制度，作为高校为毕业生办理离校手续的必要环节。高校要指导毕业生（含结业生）及时完成毕业去向登记，核实信息后及时报省级教育部门备案。实行定向招生就业办法的高校毕业生，省级教育部门和高校要指导其严格按照定向协议就业并登记去向信息。高校毕业生到户籍和档案接收管理部门办理相关手续时，教育部门应根据有关部门需要和毕业生本人授权，提供毕业生离校时相应去向登记信息查询核验服务。（教育部、人力资源社会保障部等按职责分工负责）</w:t>
      </w:r>
    </w:p>
    <w:p w14:paraId="5EE5489C"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（十四）推进体检结果互认。指导用人单位根据工作岗位实际，合理确定入职体检项目，不得违法违规开展乙肝、孕检等检测。对外科、内科、胸透X线片等基本健康体检项目，高校毕业生近6个月内已在合</w:t>
      </w:r>
      <w:proofErr w:type="gramStart"/>
      <w:r w:rsidRPr="003A6C85">
        <w:rPr>
          <w:rFonts w:ascii="宋体" w:eastAsia="宋体" w:hAnsi="宋体" w:hint="eastAsia"/>
        </w:rPr>
        <w:t>规</w:t>
      </w:r>
      <w:proofErr w:type="gramEnd"/>
      <w:r w:rsidRPr="003A6C85">
        <w:rPr>
          <w:rFonts w:ascii="宋体" w:eastAsia="宋体" w:hAnsi="宋体" w:hint="eastAsia"/>
        </w:rPr>
        <w:t>医疗机构进行体检的，用人单位应当认可其结果，原则上不得要求其重复体检，法律法规另有规定的从其规定。用人单位或高校毕业生对体检结果有疑问的，经协商可提出复检、补检要求。高校可不再组织毕业体检。（教育部、人力资源社会保障部、国家卫生健康委等按职责分工负责）</w:t>
      </w:r>
    </w:p>
    <w:p w14:paraId="1D1F6A75"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w:t>
      </w:r>
      <w:r w:rsidRPr="003A6C85">
        <w:rPr>
          <w:rFonts w:ascii="宋体" w:eastAsia="宋体" w:hAnsi="宋体" w:hint="eastAsia"/>
          <w:b/>
          <w:bCs/>
        </w:rPr>
        <w:t>四、着力加强青年就业帮扶</w:t>
      </w:r>
    </w:p>
    <w:p w14:paraId="5943BF8D"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五）健全青年就业服务机制。强化户籍地、常住地就业失业管理服务责任，允许到本地就业创业的往届高校毕业生、留学回国毕业生及失业青年进行求职登记、失业登记，提供均等化基本公共就业服务，按规定落实就业创业扶持政策。实施青年就业启航计划，对有就业意愿的失业青年，开展职业素质测评，制定求职就业计划，提供针对性岗位信息，组织志愿服务、创业实践等活动。对长期失业青年，开展实践</w:t>
      </w:r>
      <w:r w:rsidRPr="003A6C85">
        <w:rPr>
          <w:rFonts w:ascii="宋体" w:eastAsia="宋体" w:hAnsi="宋体" w:hint="eastAsia"/>
        </w:rPr>
        <w:lastRenderedPageBreak/>
        <w:t>引导、分类指导、跟踪帮扶，提供就业援助，引导他们自强自立、及早就业创业。（人力资源社会保障部、共青团中央等按职责分工负责）</w:t>
      </w:r>
    </w:p>
    <w:p w14:paraId="17187524"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（十六）提升职业技能水平。适应产业转型升级和市场需求，高质量推动</w:t>
      </w:r>
      <w:proofErr w:type="gramStart"/>
      <w:r w:rsidRPr="003A6C85">
        <w:rPr>
          <w:rFonts w:ascii="宋体" w:eastAsia="宋体" w:hAnsi="宋体" w:hint="eastAsia"/>
        </w:rPr>
        <w:t>产训结合</w:t>
      </w:r>
      <w:proofErr w:type="gramEnd"/>
      <w:r w:rsidRPr="003A6C85">
        <w:rPr>
          <w:rFonts w:ascii="宋体" w:eastAsia="宋体" w:hAnsi="宋体" w:hint="eastAsia"/>
        </w:rPr>
        <w:t>和职业技能培训资源共建共享，扩大青年职业技能培训规模，拓展学徒培训、技能研修、新职业培训等多种模式，举办各类职业技能竞赛活动。鼓励高校毕业生等青年在获得学历证书的同时获得相关职业资格证书或职业技能等级证书，对需要学历学位证书作为报考条件的，允许先参加考试评定，通过考试评定的，待取得相关学历学位证书后再发放职业资格证书或职业技能等级证书。（国家发展改革委、教育部、财政部、人力资源社会保障部等按职责分工负责）</w:t>
      </w:r>
    </w:p>
    <w:p w14:paraId="2052B5A7"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七）扩大就业见习规模。实施百万就业见习岗位募集计划，支持企事业单位、社会组织、政府投资项目、科研项目等设立见习岗位，按规定给予就业见习补贴。鼓励有条件的地方或用人单位为见习人员购买商业医疗保险，提高见习保障水平。离校未就业高校毕业生到基层实习见习基地参加见习或者到企事业单位参加项目研究的，视同基层工作经历，自报到之日起算。实施大学生实习“扬帆计划”，广泛开展各级政务实习、企业实习和职业体验活动。（人力资源社会保障部牵头，中央组织部、教育部、科技部、工业和信息化部、民政部、财政部、商务部、国务院国资委、共青团中央、全国工商联等按职责分工负责）</w:t>
      </w:r>
    </w:p>
    <w:p w14:paraId="200F9DC3"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w:t>
      </w:r>
      <w:r w:rsidRPr="003A6C85">
        <w:rPr>
          <w:rFonts w:ascii="宋体" w:eastAsia="宋体" w:hAnsi="宋体" w:hint="eastAsia"/>
          <w:b/>
          <w:bCs/>
        </w:rPr>
        <w:t>五、压紧压实工作责任</w:t>
      </w:r>
    </w:p>
    <w:p w14:paraId="1224105E"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八）加强组织领导。各地区各部门各高校要以习近平新时代中国特色社会主义思想为指导，认真贯彻落实党中央、国务院决策部署，把高校毕业生等青年就业作为就业工作重中之重，作为政府绩效考核和高校绩效考核内容，将帮扶困难高校毕业生就业作为重点，明确目标任务，细化具体举措，强化督促检查。各有关部门要立足职责，密切配合，同向发力，积极拓宽就业渠道，加快政策落实。（各有关部门和单位、各省级人民政府按职责分工负责）</w:t>
      </w:r>
    </w:p>
    <w:p w14:paraId="0C94A76A"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十九）强化工作保障。要根据本地区高校毕业生等青年就业形势和实际需要，统筹安排资金，加强人员保障，确保工作任务和政策服务落实。健全公共就业服务体系，实施提升就业服务质量工程，增强对高校毕业生等青年就业指导服务的针对性有效性。运用政府购买服务机制，支持经营性人力资源服务机构、社会组织等市场力量参与就业服务、职业指导、职业培训等工作。（各有关部门和单位、各省级人民政府按职责分工负责）</w:t>
      </w:r>
    </w:p>
    <w:p w14:paraId="3DE74900"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二十）做好宣传引导。开展就业政策服务专项宣传，及时提供通俗易懂的政策解读。开展“最美基层高校毕业生”、“基层就业出征仪式”等典型宣传活动，引导高校毕业生等青年将职业选择融入国家发展，在奋斗中实现人生价值。做好舆论引导，及时回应社会关切，稳定就业预期。（各有关部门和单位、各省级人民政府按职责分工负责）</w:t>
      </w:r>
    </w:p>
    <w:p w14:paraId="6CE86761" w14:textId="77777777" w:rsidR="003A6C85" w:rsidRPr="003A6C85" w:rsidRDefault="003A6C85" w:rsidP="003A6C85">
      <w:pPr>
        <w:spacing w:line="0" w:lineRule="atLeast"/>
        <w:jc w:val="right"/>
        <w:rPr>
          <w:rFonts w:ascii="宋体" w:eastAsia="宋体" w:hAnsi="宋体" w:hint="eastAsia"/>
        </w:rPr>
      </w:pPr>
      <w:r w:rsidRPr="003A6C85">
        <w:rPr>
          <w:rFonts w:ascii="宋体" w:eastAsia="宋体" w:hAnsi="宋体" w:hint="eastAsia"/>
        </w:rPr>
        <w:t>国务院办公厅</w:t>
      </w:r>
    </w:p>
    <w:p w14:paraId="2AD2E109" w14:textId="77777777" w:rsidR="003A6C85" w:rsidRPr="003A6C85" w:rsidRDefault="003A6C85" w:rsidP="003A6C85">
      <w:pPr>
        <w:spacing w:line="0" w:lineRule="atLeast"/>
        <w:jc w:val="right"/>
        <w:rPr>
          <w:rFonts w:ascii="宋体" w:eastAsia="宋体" w:hAnsi="宋体" w:hint="eastAsia"/>
        </w:rPr>
      </w:pPr>
      <w:r w:rsidRPr="003A6C85">
        <w:rPr>
          <w:rFonts w:ascii="宋体" w:eastAsia="宋体" w:hAnsi="宋体" w:hint="eastAsia"/>
        </w:rPr>
        <w:t>2022年5月5日</w:t>
      </w:r>
    </w:p>
    <w:p w14:paraId="770FE637" w14:textId="77777777" w:rsidR="003A6C85" w:rsidRPr="003A6C85" w:rsidRDefault="003A6C85" w:rsidP="003A6C85">
      <w:pPr>
        <w:spacing w:line="0" w:lineRule="atLeast"/>
        <w:rPr>
          <w:rFonts w:ascii="宋体" w:eastAsia="宋体" w:hAnsi="宋体" w:hint="eastAsia"/>
        </w:rPr>
      </w:pPr>
      <w:r w:rsidRPr="003A6C85">
        <w:rPr>
          <w:rFonts w:ascii="宋体" w:eastAsia="宋体" w:hAnsi="宋体" w:hint="eastAsia"/>
        </w:rPr>
        <w:t xml:space="preserve">　　（此件公开发布）</w:t>
      </w:r>
    </w:p>
    <w:p w14:paraId="58090B32" w14:textId="4F4CBD54" w:rsidR="007456DF" w:rsidRDefault="00354D59" w:rsidP="00354D59">
      <w:pPr>
        <w:spacing w:line="0" w:lineRule="atLeast"/>
        <w:ind w:firstLine="420"/>
        <w:rPr>
          <w:rFonts w:ascii="宋体" w:eastAsia="宋体" w:hAnsi="宋体"/>
        </w:rPr>
      </w:pPr>
      <w:r>
        <w:rPr>
          <w:rFonts w:ascii="宋体" w:eastAsia="宋体" w:hAnsi="宋体" w:hint="eastAsia"/>
        </w:rPr>
        <w:t>【来源：2</w:t>
      </w:r>
      <w:r>
        <w:rPr>
          <w:rFonts w:ascii="宋体" w:eastAsia="宋体" w:hAnsi="宋体"/>
        </w:rPr>
        <w:t>022</w:t>
      </w:r>
      <w:r>
        <w:rPr>
          <w:rFonts w:ascii="宋体" w:eastAsia="宋体" w:hAnsi="宋体" w:hint="eastAsia"/>
        </w:rPr>
        <w:t>年5月1</w:t>
      </w:r>
      <w:r>
        <w:rPr>
          <w:rFonts w:ascii="宋体" w:eastAsia="宋体" w:hAnsi="宋体"/>
        </w:rPr>
        <w:t>3</w:t>
      </w:r>
      <w:r>
        <w:rPr>
          <w:rFonts w:ascii="宋体" w:eastAsia="宋体" w:hAnsi="宋体" w:hint="eastAsia"/>
        </w:rPr>
        <w:t>日，中央人民政府门户网站】</w:t>
      </w:r>
    </w:p>
    <w:p w14:paraId="44A37F05" w14:textId="77777777" w:rsidR="00354D59" w:rsidRPr="00354D59" w:rsidRDefault="00354D59" w:rsidP="00354D59">
      <w:pPr>
        <w:spacing w:line="0" w:lineRule="atLeast"/>
        <w:rPr>
          <w:rFonts w:ascii="宋体" w:eastAsia="宋体" w:hAnsi="宋体" w:hint="eastAsia"/>
        </w:rPr>
      </w:pPr>
    </w:p>
    <w:sectPr w:rsidR="00354D59" w:rsidRPr="00354D59" w:rsidSect="003A6C8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F1"/>
    <w:rsid w:val="00354D59"/>
    <w:rsid w:val="003A6C85"/>
    <w:rsid w:val="007456DF"/>
    <w:rsid w:val="00FE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6EF5"/>
  <w15:chartTrackingRefBased/>
  <w15:docId w15:val="{28E8A4C1-2C31-4B90-A087-81E5E7B2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2230">
      <w:bodyDiv w:val="1"/>
      <w:marLeft w:val="0"/>
      <w:marRight w:val="0"/>
      <w:marTop w:val="0"/>
      <w:marBottom w:val="0"/>
      <w:divBdr>
        <w:top w:val="none" w:sz="0" w:space="0" w:color="auto"/>
        <w:left w:val="none" w:sz="0" w:space="0" w:color="auto"/>
        <w:bottom w:val="none" w:sz="0" w:space="0" w:color="auto"/>
        <w:right w:val="none" w:sz="0" w:space="0" w:color="auto"/>
      </w:divBdr>
      <w:divsChild>
        <w:div w:id="350185447">
          <w:marLeft w:val="0"/>
          <w:marRight w:val="0"/>
          <w:marTop w:val="240"/>
          <w:marBottom w:val="0"/>
          <w:divBdr>
            <w:top w:val="none" w:sz="0" w:space="0" w:color="auto"/>
            <w:left w:val="none" w:sz="0" w:space="0" w:color="auto"/>
            <w:bottom w:val="none" w:sz="0" w:space="0" w:color="auto"/>
            <w:right w:val="none" w:sz="0" w:space="0" w:color="auto"/>
          </w:divBdr>
        </w:div>
      </w:divsChild>
    </w:div>
    <w:div w:id="1593005958">
      <w:bodyDiv w:val="1"/>
      <w:marLeft w:val="0"/>
      <w:marRight w:val="0"/>
      <w:marTop w:val="0"/>
      <w:marBottom w:val="0"/>
      <w:divBdr>
        <w:top w:val="none" w:sz="0" w:space="0" w:color="auto"/>
        <w:left w:val="none" w:sz="0" w:space="0" w:color="auto"/>
        <w:bottom w:val="none" w:sz="0" w:space="0" w:color="auto"/>
        <w:right w:val="none" w:sz="0" w:space="0" w:color="auto"/>
      </w:divBdr>
      <w:divsChild>
        <w:div w:id="90761288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2022-05-14T14:19:00Z</dcterms:created>
  <dcterms:modified xsi:type="dcterms:W3CDTF">2022-05-14T14:21:00Z</dcterms:modified>
</cp:coreProperties>
</file>